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144D7" w:rsidTr="00F72885">
        <w:trPr>
          <w:jc w:val="right"/>
        </w:trPr>
        <w:tc>
          <w:tcPr>
            <w:tcW w:w="4785" w:type="dxa"/>
            <w:hideMark/>
          </w:tcPr>
          <w:p w:rsidR="009144D7" w:rsidRDefault="009144D7" w:rsidP="00F7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9144D7" w:rsidTr="00F72885">
        <w:trPr>
          <w:trHeight w:val="80"/>
          <w:jc w:val="right"/>
        </w:trPr>
        <w:tc>
          <w:tcPr>
            <w:tcW w:w="4785" w:type="dxa"/>
            <w:hideMark/>
          </w:tcPr>
          <w:p w:rsidR="009144D7" w:rsidRDefault="009144D7" w:rsidP="00F7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 Естественные науки</w:t>
      </w:r>
    </w:p>
    <w:p w:rsidR="005A7ADD" w:rsidRPr="00C47A2C" w:rsidRDefault="005A7ADD" w:rsidP="005A7AD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44D7" w:rsidRPr="009A1772" w:rsidRDefault="009144D7" w:rsidP="009144D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772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9A1772">
        <w:rPr>
          <w:rFonts w:ascii="Times New Roman" w:hAnsi="Times New Roman" w:cs="Times New Roman"/>
          <w:sz w:val="24"/>
          <w:szCs w:val="24"/>
        </w:rPr>
        <w:t>1.6. Науки о Земле и окружающей среде</w:t>
      </w:r>
    </w:p>
    <w:p w:rsidR="009144D7" w:rsidRPr="009A1772" w:rsidRDefault="009144D7" w:rsidP="009144D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4D7" w:rsidRPr="009A1772" w:rsidRDefault="009144D7" w:rsidP="009144D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1772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9A1772">
        <w:rPr>
          <w:rFonts w:ascii="Times New Roman" w:hAnsi="Times New Roman"/>
          <w:sz w:val="24"/>
          <w:szCs w:val="24"/>
        </w:rPr>
        <w:t xml:space="preserve">1.6.9. </w:t>
      </w:r>
      <w:r w:rsidRPr="009A1772">
        <w:rPr>
          <w:rFonts w:ascii="Times New Roman" w:hAnsi="Times New Roman" w:cs="Times New Roman"/>
          <w:sz w:val="24"/>
          <w:szCs w:val="24"/>
        </w:rPr>
        <w:t>Геофизика</w:t>
      </w:r>
    </w:p>
    <w:p w:rsidR="005A7ADD" w:rsidRDefault="005A7ADD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44D7" w:rsidRDefault="009144D7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9144D7" w:rsidRPr="00BB5478" w:rsidRDefault="009144D7" w:rsidP="009144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478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9144D7" w:rsidRPr="00BB5478" w:rsidRDefault="009144D7" w:rsidP="009144D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Pr="00BB5478">
        <w:rPr>
          <w:rFonts w:ascii="Times New Roman" w:hAnsi="Times New Roman"/>
          <w:sz w:val="24"/>
          <w:szCs w:val="24"/>
        </w:rPr>
        <w:t xml:space="preserve"> кафедры математики и физики</w:t>
      </w:r>
    </w:p>
    <w:p w:rsidR="009144D7" w:rsidRPr="00BB5478" w:rsidRDefault="009144D7" w:rsidP="009144D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478">
        <w:rPr>
          <w:rFonts w:ascii="Times New Roman" w:hAnsi="Times New Roman"/>
          <w:sz w:val="24"/>
          <w:szCs w:val="24"/>
        </w:rPr>
        <w:t>Павлова В.Ю.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 для оценивания уровня знаний, умений, навыков и опыта деятельности, характеризующих этапы формирования компетенций в процессе прохождения практики………………………………………………………………………………..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ОПК-2; ПК-1.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3578D8" w:rsidRPr="003578D8" w:rsidTr="001E320B">
              <w:trPr>
                <w:trHeight w:val="226"/>
              </w:trPr>
              <w:tc>
                <w:tcPr>
                  <w:tcW w:w="0" w:type="auto"/>
                </w:tcPr>
                <w:p w:rsidR="003578D8" w:rsidRPr="003578D8" w:rsidRDefault="003578D8" w:rsidP="003578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578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578D8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9144D7" w:rsidP="003578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6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  <w:bookmarkStart w:id="0" w:name="_GoBack"/>
            <w:bookmarkEnd w:id="0"/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представление плана практической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проведении промежуточной ат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Воспитательный процесс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владеет нормами литературного языка, 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E2" w:rsidRDefault="00CF49E2">
      <w:pPr>
        <w:spacing w:after="0" w:line="240" w:lineRule="auto"/>
      </w:pPr>
      <w:r>
        <w:separator/>
      </w:r>
    </w:p>
  </w:endnote>
  <w:endnote w:type="continuationSeparator" w:id="0">
    <w:p w:rsidR="00CF49E2" w:rsidRDefault="00CF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4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E2" w:rsidRDefault="00CF49E2">
      <w:pPr>
        <w:spacing w:after="0" w:line="240" w:lineRule="auto"/>
      </w:pPr>
      <w:r>
        <w:separator/>
      </w:r>
    </w:p>
  </w:footnote>
  <w:footnote w:type="continuationSeparator" w:id="0">
    <w:p w:rsidR="00CF49E2" w:rsidRDefault="00CF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A7ADD" w:rsidTr="00E9128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A7ADD" w:rsidTr="00E9128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Фонд оценочных средств по педагогической практике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9144D7">
            <w:rPr>
              <w:rFonts w:ascii="Times New Roman" w:hAnsi="Times New Roman"/>
              <w:sz w:val="24"/>
              <w:szCs w:val="24"/>
            </w:rPr>
            <w:t>1.6.9. Геофизика</w:t>
          </w:r>
        </w:p>
      </w:tc>
    </w:tr>
  </w:tbl>
  <w:p w:rsidR="005A7ADD" w:rsidRDefault="005A7ADD" w:rsidP="005A7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90283"/>
    <w:rsid w:val="002C3630"/>
    <w:rsid w:val="002F336E"/>
    <w:rsid w:val="003578D8"/>
    <w:rsid w:val="00563129"/>
    <w:rsid w:val="00577B9A"/>
    <w:rsid w:val="005A7ADD"/>
    <w:rsid w:val="005D1DAE"/>
    <w:rsid w:val="006D6781"/>
    <w:rsid w:val="00754E82"/>
    <w:rsid w:val="007D4730"/>
    <w:rsid w:val="009144D7"/>
    <w:rsid w:val="00BB1E2A"/>
    <w:rsid w:val="00C02EC9"/>
    <w:rsid w:val="00CF49E2"/>
    <w:rsid w:val="00E3517A"/>
    <w:rsid w:val="00E64867"/>
    <w:rsid w:val="00F0300E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4AEC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  <w:style w:type="table" w:customStyle="1" w:styleId="15">
    <w:name w:val="Сетка таблицы1"/>
    <w:basedOn w:val="a1"/>
    <w:uiPriority w:val="99"/>
    <w:rsid w:val="005A7ADD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5A7ADD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2341-8D1E-4C4F-BC07-1A8BF46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99</cp:revision>
  <dcterms:created xsi:type="dcterms:W3CDTF">2019-11-28T00:16:00Z</dcterms:created>
  <dcterms:modified xsi:type="dcterms:W3CDTF">2023-06-07T21:27:00Z</dcterms:modified>
  <dc:language>ru-RU</dc:language>
</cp:coreProperties>
</file>